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90" w:type="dxa"/>
        <w:tblLayout w:type="fixed"/>
        <w:tblLook w:val="04A0" w:firstRow="1" w:lastRow="0" w:firstColumn="1" w:lastColumn="0" w:noHBand="0" w:noVBand="1"/>
      </w:tblPr>
      <w:tblGrid>
        <w:gridCol w:w="3720"/>
        <w:gridCol w:w="5670"/>
      </w:tblGrid>
      <w:tr w:rsidR="00C11A19" w:rsidRPr="00C11A19" w:rsidTr="00263BA9">
        <w:tc>
          <w:tcPr>
            <w:tcW w:w="3720" w:type="dxa"/>
            <w:hideMark/>
          </w:tcPr>
          <w:p w:rsidR="00C11A19" w:rsidRPr="00C11A19" w:rsidRDefault="00C11A19" w:rsidP="00C11A19">
            <w:pPr>
              <w:keepNext/>
              <w:tabs>
                <w:tab w:val="center" w:pos="1701"/>
              </w:tabs>
              <w:spacing w:after="0" w:line="240" w:lineRule="auto"/>
              <w:jc w:val="center"/>
              <w:outlineLvl w:val="1"/>
              <w:rPr>
                <w:rFonts w:ascii="Times New Roman" w:eastAsia="Times New Roman" w:hAnsi="Times New Roman" w:cs="Times New Roman"/>
                <w:b/>
                <w:sz w:val="24"/>
                <w:szCs w:val="24"/>
              </w:rPr>
            </w:pPr>
            <w:r w:rsidRPr="00C11A19">
              <w:rPr>
                <w:rFonts w:ascii="Times New Roman" w:eastAsia="Times New Roman" w:hAnsi="Times New Roman" w:cs="Times New Roman"/>
                <w:sz w:val="24"/>
                <w:szCs w:val="24"/>
              </w:rPr>
              <w:t>BỘ XÂY DỰNG</w:t>
            </w:r>
          </w:p>
          <w:p w:rsidR="00C11A19" w:rsidRDefault="00C11A19" w:rsidP="00C11A19">
            <w:pPr>
              <w:spacing w:after="0" w:line="240" w:lineRule="auto"/>
              <w:jc w:val="center"/>
              <w:rPr>
                <w:rFonts w:ascii="Times New Roman" w:eastAsia="Times New Roman" w:hAnsi="Times New Roman" w:cs="Times New Roman"/>
                <w:b/>
                <w:sz w:val="24"/>
                <w:szCs w:val="24"/>
                <w:lang w:val="en-AU"/>
              </w:rPr>
            </w:pPr>
            <w:r w:rsidRPr="00C11A19">
              <w:rPr>
                <w:rFonts w:ascii="Times New Roman" w:eastAsia="Times New Roman" w:hAnsi="Times New Roman" w:cs="Times New Roman"/>
                <w:b/>
                <w:sz w:val="24"/>
                <w:szCs w:val="24"/>
                <w:lang w:val="en-AU"/>
              </w:rPr>
              <w:t xml:space="preserve">VỤ KHOA HỌC CÔNG NGHỆ, MÔI TRƯỜNG </w:t>
            </w:r>
          </w:p>
          <w:p w:rsidR="00C11A19" w:rsidRPr="00C11A19" w:rsidRDefault="00C11A19" w:rsidP="00C11A19">
            <w:pPr>
              <w:spacing w:after="0" w:line="240" w:lineRule="auto"/>
              <w:jc w:val="center"/>
              <w:rPr>
                <w:rFonts w:ascii=".VnTime" w:eastAsia="Times New Roman" w:hAnsi=".VnTime" w:cs="Times New Roman"/>
                <w:sz w:val="24"/>
                <w:szCs w:val="20"/>
                <w:lang w:val="en-AU"/>
              </w:rPr>
            </w:pPr>
            <w:r w:rsidRPr="00C11A19">
              <w:rPr>
                <w:rFonts w:ascii="Times New Roman" w:eastAsia="Times New Roman" w:hAnsi="Times New Roman" w:cs="Times New Roman"/>
                <w:b/>
                <w:sz w:val="24"/>
                <w:szCs w:val="24"/>
                <w:lang w:val="en-AU"/>
              </w:rPr>
              <w:t>VÀ VẬT LIỆU XÂY DỰNG</w:t>
            </w:r>
          </w:p>
        </w:tc>
        <w:tc>
          <w:tcPr>
            <w:tcW w:w="5670" w:type="dxa"/>
            <w:hideMark/>
          </w:tcPr>
          <w:p w:rsidR="00C11A19" w:rsidRPr="00C11A19" w:rsidRDefault="00C11A19" w:rsidP="00C11A19">
            <w:pPr>
              <w:keepNext/>
              <w:tabs>
                <w:tab w:val="center" w:pos="1701"/>
              </w:tabs>
              <w:spacing w:after="0" w:line="240" w:lineRule="auto"/>
              <w:jc w:val="center"/>
              <w:outlineLvl w:val="1"/>
              <w:rPr>
                <w:rFonts w:ascii="Times New Roman" w:eastAsia="Times New Roman" w:hAnsi="Times New Roman" w:cs="Times New Roman"/>
                <w:sz w:val="24"/>
                <w:szCs w:val="24"/>
              </w:rPr>
            </w:pPr>
            <w:r w:rsidRPr="00C11A19">
              <w:rPr>
                <w:rFonts w:ascii="Times New Roman" w:eastAsia="Times New Roman" w:hAnsi="Times New Roman" w:cs="Times New Roman"/>
                <w:sz w:val="24"/>
                <w:szCs w:val="24"/>
              </w:rPr>
              <w:t>CỘNG HOÀ XÃ HỘI CHỦ NGHĨA VIỆT NAM</w:t>
            </w:r>
          </w:p>
          <w:p w:rsidR="00C11A19" w:rsidRPr="00C11A19" w:rsidRDefault="00C11A19" w:rsidP="00C11A19">
            <w:pPr>
              <w:spacing w:after="0" w:line="240" w:lineRule="auto"/>
              <w:jc w:val="center"/>
              <w:rPr>
                <w:rFonts w:ascii=".VnTime" w:eastAsia="Times New Roman" w:hAnsi=".VnTime" w:cs="Times New Roman"/>
                <w:sz w:val="26"/>
                <w:szCs w:val="26"/>
                <w:lang w:val="en-AU"/>
              </w:rPr>
            </w:pPr>
            <w:r w:rsidRPr="00C11A19">
              <w:rPr>
                <w:rFonts w:ascii=".VnTime" w:eastAsia="Times New Roman" w:hAnsi=".VnTime" w:cs="Times New Roman"/>
                <w:noProof/>
                <w:sz w:val="24"/>
                <w:szCs w:val="20"/>
              </w:rPr>
              <mc:AlternateContent>
                <mc:Choice Requires="wps">
                  <w:drawing>
                    <wp:anchor distT="0" distB="0" distL="114300" distR="114300" simplePos="0" relativeHeight="251656704" behindDoc="0" locked="0" layoutInCell="1" allowOverlap="1" wp14:anchorId="3125597E" wp14:editId="00E6F68B">
                      <wp:simplePos x="0" y="0"/>
                      <wp:positionH relativeFrom="column">
                        <wp:posOffset>762000</wp:posOffset>
                      </wp:positionH>
                      <wp:positionV relativeFrom="paragraph">
                        <wp:posOffset>231614</wp:posOffset>
                      </wp:positionV>
                      <wp:extent cx="1953260" cy="0"/>
                      <wp:effectExtent l="0" t="0" r="27940" b="1905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3260" cy="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FF83C8B" id="Line 5"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pt,18.25pt" to="213.8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">
                      <v:stroke startarrowwidth="narrow" startarrowlength="short" endarrowwidth="narrow" endarrowlength="short"/>
                    </v:line>
                  </w:pict>
                </mc:Fallback>
              </mc:AlternateContent>
            </w:r>
            <w:r w:rsidRPr="00C11A19">
              <w:rPr>
                <w:rFonts w:ascii="Times New Roman" w:eastAsia="Times New Roman" w:hAnsi="Times New Roman" w:cs="Times New Roman"/>
                <w:b/>
                <w:sz w:val="26"/>
                <w:szCs w:val="26"/>
                <w:lang w:val="en-AU"/>
              </w:rPr>
              <w:t>Độc lập - Tự do - Hạnh phúc</w:t>
            </w:r>
          </w:p>
        </w:tc>
      </w:tr>
      <w:tr w:rsidR="00C11A19" w:rsidRPr="00C11A19" w:rsidTr="00285FAF">
        <w:trPr>
          <w:trHeight w:val="737"/>
        </w:trPr>
        <w:tc>
          <w:tcPr>
            <w:tcW w:w="3720" w:type="dxa"/>
            <w:vAlign w:val="center"/>
            <w:hideMark/>
          </w:tcPr>
          <w:p w:rsidR="00C11A19" w:rsidRPr="00C11A19" w:rsidRDefault="00C11A19" w:rsidP="00C11A19">
            <w:pPr>
              <w:keepNext/>
              <w:tabs>
                <w:tab w:val="center" w:pos="1701"/>
              </w:tabs>
              <w:spacing w:before="240" w:after="0" w:line="240" w:lineRule="auto"/>
              <w:jc w:val="center"/>
              <w:outlineLvl w:val="1"/>
              <w:rPr>
                <w:rFonts w:ascii="Times New Roman" w:eastAsia="Times New Roman" w:hAnsi="Times New Roman" w:cs="Times New Roman"/>
                <w:b/>
                <w:sz w:val="26"/>
                <w:szCs w:val="26"/>
              </w:rPr>
            </w:pPr>
            <w:r w:rsidRPr="00C11A19">
              <w:rPr>
                <w:rFonts w:ascii=".VnTime" w:eastAsia="Times New Roman" w:hAnsi=".VnTime" w:cs="Times New Roman"/>
                <w:i/>
                <w:noProof/>
                <w:sz w:val="24"/>
                <w:szCs w:val="20"/>
              </w:rPr>
              <mc:AlternateContent>
                <mc:Choice Requires="wps">
                  <w:drawing>
                    <wp:anchor distT="0" distB="0" distL="114300" distR="114300" simplePos="0" relativeHeight="251658752" behindDoc="0" locked="0" layoutInCell="1" allowOverlap="1" wp14:anchorId="378CD5B7" wp14:editId="30EF8F32">
                      <wp:simplePos x="0" y="0"/>
                      <wp:positionH relativeFrom="column">
                        <wp:posOffset>566420</wp:posOffset>
                      </wp:positionH>
                      <wp:positionV relativeFrom="paragraph">
                        <wp:posOffset>-25400</wp:posOffset>
                      </wp:positionV>
                      <wp:extent cx="1043305" cy="0"/>
                      <wp:effectExtent l="0" t="0" r="23495" b="19050"/>
                      <wp:wrapNone/>
                      <wp:docPr id="7"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3305" cy="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7F1260B" id="Line 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6pt,-2pt" to="126.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">
                      <v:stroke startarrowwidth="narrow" startarrowlength="short" endarrowwidth="narrow" endarrowlength="short"/>
                    </v:line>
                  </w:pict>
                </mc:Fallback>
              </mc:AlternateContent>
            </w:r>
            <w:r w:rsidRPr="00C11A19">
              <w:rPr>
                <w:rFonts w:ascii="Times New Roman" w:eastAsia="Times New Roman" w:hAnsi="Times New Roman" w:cs="Times New Roman"/>
                <w:sz w:val="26"/>
                <w:szCs w:val="26"/>
              </w:rPr>
              <w:t xml:space="preserve">Số: </w:t>
            </w:r>
            <w:r>
              <w:rPr>
                <w:rFonts w:ascii="Times New Roman" w:eastAsia="Times New Roman" w:hAnsi="Times New Roman" w:cs="Times New Roman"/>
                <w:sz w:val="26"/>
                <w:szCs w:val="26"/>
              </w:rPr>
              <w:t xml:space="preserve">         </w:t>
            </w:r>
            <w:r w:rsidRPr="00C11A19">
              <w:rPr>
                <w:rFonts w:ascii="Times New Roman" w:eastAsia="Times New Roman" w:hAnsi="Times New Roman" w:cs="Times New Roman"/>
                <w:sz w:val="26"/>
                <w:szCs w:val="26"/>
              </w:rPr>
              <w:t>/KHCNMT&amp;VLXD</w:t>
            </w:r>
          </w:p>
        </w:tc>
        <w:tc>
          <w:tcPr>
            <w:tcW w:w="5670" w:type="dxa"/>
            <w:vAlign w:val="center"/>
            <w:hideMark/>
          </w:tcPr>
          <w:p w:rsidR="00C11A19" w:rsidRPr="00C11A19" w:rsidRDefault="00C11A19" w:rsidP="00C11A19">
            <w:pPr>
              <w:keepNext/>
              <w:tabs>
                <w:tab w:val="center" w:pos="1701"/>
              </w:tabs>
              <w:spacing w:before="240" w:after="0" w:line="240" w:lineRule="auto"/>
              <w:jc w:val="center"/>
              <w:outlineLvl w:val="1"/>
              <w:rPr>
                <w:rFonts w:ascii="Times New Roman" w:eastAsia="Times New Roman" w:hAnsi="Times New Roman" w:cs="Times New Roman"/>
                <w:b/>
                <w:i/>
                <w:sz w:val="26"/>
                <w:szCs w:val="26"/>
              </w:rPr>
            </w:pPr>
            <w:r w:rsidRPr="00C11A19">
              <w:rPr>
                <w:rFonts w:ascii="Times New Roman" w:eastAsia="Times New Roman" w:hAnsi="Times New Roman" w:cs="Times New Roman"/>
                <w:i/>
                <w:noProof/>
                <w:sz w:val="26"/>
                <w:szCs w:val="26"/>
              </w:rPr>
              <w:t xml:space="preserve">Hà Nội, ngày </w:t>
            </w:r>
            <w:r>
              <w:rPr>
                <w:rFonts w:ascii="Times New Roman" w:eastAsia="Times New Roman" w:hAnsi="Times New Roman" w:cs="Times New Roman"/>
                <w:i/>
                <w:noProof/>
                <w:sz w:val="26"/>
                <w:szCs w:val="26"/>
              </w:rPr>
              <w:t xml:space="preserve">     </w:t>
            </w:r>
            <w:r w:rsidRPr="00C11A19">
              <w:rPr>
                <w:rFonts w:ascii="Times New Roman" w:eastAsia="Times New Roman" w:hAnsi="Times New Roman" w:cs="Times New Roman"/>
                <w:i/>
                <w:noProof/>
                <w:sz w:val="26"/>
                <w:szCs w:val="26"/>
              </w:rPr>
              <w:t xml:space="preserve"> tháng </w:t>
            </w:r>
            <w:r>
              <w:rPr>
                <w:rFonts w:ascii="Times New Roman" w:eastAsia="Times New Roman" w:hAnsi="Times New Roman" w:cs="Times New Roman"/>
                <w:i/>
                <w:noProof/>
                <w:sz w:val="26"/>
                <w:szCs w:val="26"/>
              </w:rPr>
              <w:t xml:space="preserve">     </w:t>
            </w:r>
            <w:r w:rsidRPr="00C11A19">
              <w:rPr>
                <w:rFonts w:ascii="Times New Roman" w:eastAsia="Times New Roman" w:hAnsi="Times New Roman" w:cs="Times New Roman"/>
                <w:i/>
                <w:noProof/>
                <w:sz w:val="26"/>
                <w:szCs w:val="26"/>
              </w:rPr>
              <w:t xml:space="preserve"> năm 2026</w:t>
            </w:r>
          </w:p>
        </w:tc>
      </w:tr>
    </w:tbl>
    <w:p w:rsidR="00FD4DF4" w:rsidRPr="00FD4DF4" w:rsidRDefault="00285FAF" w:rsidP="00FD4DF4">
      <w:pPr>
        <w:spacing w:before="100" w:beforeAutospacing="1" w:after="100" w:afterAutospacing="1" w:line="240" w:lineRule="auto"/>
        <w:rPr>
          <w:rFonts w:ascii="Times New Roman" w:eastAsia="Times New Roman" w:hAnsi="Times New Roman" w:cs="Times New Roman"/>
          <w:sz w:val="24"/>
          <w:szCs w:val="24"/>
        </w:rPr>
      </w:pPr>
      <w:r w:rsidRPr="00D57E39">
        <w:rPr>
          <w:b/>
          <w:noProof/>
          <w:color w:val="000000" w:themeColor="text1"/>
        </w:rPr>
        <mc:AlternateContent>
          <mc:Choice Requires="wps">
            <w:drawing>
              <wp:anchor distT="45720" distB="45720" distL="114300" distR="114300" simplePos="0" relativeHeight="251662336" behindDoc="0" locked="0" layoutInCell="1" allowOverlap="1" wp14:anchorId="3ABAFB9C" wp14:editId="32535116">
                <wp:simplePos x="0" y="0"/>
                <wp:positionH relativeFrom="column">
                  <wp:posOffset>0</wp:posOffset>
                </wp:positionH>
                <wp:positionV relativeFrom="paragraph">
                  <wp:posOffset>154267</wp:posOffset>
                </wp:positionV>
                <wp:extent cx="1104595" cy="320722"/>
                <wp:effectExtent l="0" t="0" r="19685" b="2222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595" cy="320722"/>
                        </a:xfrm>
                        <a:prstGeom prst="rect">
                          <a:avLst/>
                        </a:prstGeom>
                        <a:solidFill>
                          <a:srgbClr val="FFFFFF"/>
                        </a:solidFill>
                        <a:ln w="12700">
                          <a:solidFill>
                            <a:srgbClr val="000000"/>
                          </a:solidFill>
                          <a:miter lim="800000"/>
                          <a:headEnd/>
                          <a:tailEnd/>
                        </a:ln>
                      </wps:spPr>
                      <wps:txbx>
                        <w:txbxContent>
                          <w:p w:rsidR="00285FAF" w:rsidRPr="00285FAF" w:rsidRDefault="00285FAF" w:rsidP="00285FAF">
                            <w:pPr>
                              <w:jc w:val="center"/>
                              <w:rPr>
                                <w:rFonts w:ascii="Times New Roman" w:hAnsi="Times New Roman" w:cs="Times New Roman"/>
                                <w:b/>
                                <w:sz w:val="28"/>
                                <w:szCs w:val="28"/>
                              </w:rPr>
                            </w:pPr>
                            <w:r w:rsidRPr="00285FAF">
                              <w:rPr>
                                <w:rFonts w:ascii="Times New Roman" w:hAnsi="Times New Roman" w:cs="Times New Roman"/>
                                <w:b/>
                                <w:sz w:val="28"/>
                                <w:szCs w:val="28"/>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BAFB9C" id="_x0000_t202" coordsize="21600,21600" o:spt="202" path="m,l,21600r21600,l21600,xe">
                <v:stroke joinstyle="miter"/>
                <v:path gradientshapeok="t" o:connecttype="rect"/>
              </v:shapetype>
              <v:shape id="Text Box 2" o:spid="_x0000_s1026" type="#_x0000_t202" style="position:absolute;margin-left:0;margin-top:12.15pt;width:87pt;height:25.2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" strokeweight="1pt">
                <v:textbox>
                  <w:txbxContent>
                    <w:p w:rsidR="00285FAF" w:rsidRPr="00285FAF" w:rsidRDefault="00285FAF" w:rsidP="00285FAF">
                      <w:pPr>
                        <w:jc w:val="center"/>
                        <w:rPr>
                          <w:rFonts w:ascii="Times New Roman" w:hAnsi="Times New Roman" w:cs="Times New Roman"/>
                          <w:b/>
                          <w:sz w:val="28"/>
                          <w:szCs w:val="28"/>
                        </w:rPr>
                      </w:pPr>
                      <w:r w:rsidRPr="00285FAF">
                        <w:rPr>
                          <w:rFonts w:ascii="Times New Roman" w:hAnsi="Times New Roman" w:cs="Times New Roman"/>
                          <w:b/>
                          <w:sz w:val="28"/>
                          <w:szCs w:val="28"/>
                        </w:rPr>
                        <w:t>Dự thảo</w:t>
                      </w:r>
                    </w:p>
                  </w:txbxContent>
                </v:textbox>
              </v:shape>
            </w:pict>
          </mc:Fallback>
        </mc:AlternateContent>
      </w:r>
      <w:r w:rsidR="00FD4DF4" w:rsidRPr="00FD4DF4">
        <w:rPr>
          <w:rFonts w:ascii="Times New Roman" w:eastAsia="Times New Roman" w:hAnsi="Times New Roman" w:cs="Times New Roman"/>
          <w:sz w:val="24"/>
          <w:szCs w:val="24"/>
        </w:rPr>
        <w:br/>
      </w:r>
    </w:p>
    <w:p w:rsidR="00FD4DF4" w:rsidRPr="00FD4DF4" w:rsidRDefault="00FD4DF4" w:rsidP="00C11A19">
      <w:pPr>
        <w:spacing w:before="120" w:after="120" w:line="240" w:lineRule="auto"/>
        <w:jc w:val="center"/>
        <w:outlineLvl w:val="0"/>
        <w:rPr>
          <w:rFonts w:ascii="Times New Roman" w:eastAsia="Times New Roman" w:hAnsi="Times New Roman" w:cs="Times New Roman"/>
          <w:b/>
          <w:bCs/>
          <w:kern w:val="36"/>
          <w:sz w:val="28"/>
          <w:szCs w:val="28"/>
        </w:rPr>
      </w:pPr>
      <w:r w:rsidRPr="00FD4DF4">
        <w:rPr>
          <w:rFonts w:ascii="Times New Roman" w:eastAsia="Times New Roman" w:hAnsi="Times New Roman" w:cs="Times New Roman"/>
          <w:b/>
          <w:bCs/>
          <w:kern w:val="36"/>
          <w:sz w:val="28"/>
          <w:szCs w:val="28"/>
        </w:rPr>
        <w:t>TỜ TRÌNH</w:t>
      </w:r>
    </w:p>
    <w:p w:rsidR="00FD4DF4" w:rsidRPr="00FD4DF4" w:rsidRDefault="00FD4DF4" w:rsidP="00C11A19">
      <w:pPr>
        <w:spacing w:before="120" w:after="120" w:line="240" w:lineRule="auto"/>
        <w:jc w:val="center"/>
        <w:rPr>
          <w:rFonts w:ascii="Times New Roman" w:eastAsia="Times New Roman" w:hAnsi="Times New Roman" w:cs="Times New Roman"/>
          <w:sz w:val="28"/>
          <w:szCs w:val="28"/>
        </w:rPr>
      </w:pPr>
      <w:r w:rsidRPr="0057456A">
        <w:rPr>
          <w:rFonts w:ascii="Times New Roman" w:eastAsia="Times New Roman" w:hAnsi="Times New Roman" w:cs="Times New Roman"/>
          <w:b/>
          <w:bCs/>
          <w:sz w:val="28"/>
          <w:szCs w:val="28"/>
        </w:rPr>
        <w:t>Về việc ban hành Thông tư của Bộ trưởng Bộ Xây dựng ban hành Danh mục sản phẩm, hàng hóa có mức độ rủi ro trung bình, mức độ rủi ro cao lĩnh vực giao thông vận tải thuộc phạm vi quản lý của Bộ Xây dựng</w:t>
      </w:r>
    </w:p>
    <w:p w:rsidR="00FD4DF4" w:rsidRPr="00FD4DF4" w:rsidRDefault="00FD4DF4" w:rsidP="00285FAF">
      <w:pPr>
        <w:spacing w:before="360" w:after="360" w:line="240" w:lineRule="auto"/>
        <w:jc w:val="center"/>
        <w:rPr>
          <w:rFonts w:ascii="Times New Roman" w:eastAsia="Times New Roman" w:hAnsi="Times New Roman" w:cs="Times New Roman"/>
          <w:sz w:val="28"/>
          <w:szCs w:val="28"/>
        </w:rPr>
      </w:pPr>
      <w:r w:rsidRPr="00FD4DF4">
        <w:rPr>
          <w:rFonts w:ascii="Times New Roman" w:eastAsia="Times New Roman" w:hAnsi="Times New Roman" w:cs="Times New Roman"/>
          <w:sz w:val="28"/>
          <w:szCs w:val="28"/>
        </w:rPr>
        <w:t>Kính gửi: Bộ trưởng Bộ Xây dựng</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3B2541">
        <w:rPr>
          <w:rFonts w:ascii="Times New Roman" w:hAnsi="Times New Roman" w:cs="Times New Roman"/>
          <w:sz w:val="28"/>
          <w:szCs w:val="28"/>
        </w:rPr>
        <w:t xml:space="preserve">Thực hiện Luật Chất lượng sản phẩm, hàng hóa số 05/2007/QH12 đã được </w:t>
      </w:r>
      <w:r w:rsidRPr="00285FAF">
        <w:rPr>
          <w:rFonts w:ascii="Times New Roman" w:hAnsi="Times New Roman" w:cs="Times New Roman"/>
          <w:sz w:val="28"/>
          <w:szCs w:val="28"/>
        </w:rPr>
        <w:t>sửa đổi, bổ sung bởi Luật số 78/2025/QH15; Nghị định số 37/2026/NĐ-CP ngày 23/01/2026 của Chính phủ quy định chi tiết một số điều và biện pháp để tổ chức, hướng dẫn thi hành Luật Chất lượng sản phẩm, hàng hóa; Quyết định của Bộ trưởng Bộ Xây dựng về nhiệm vụ xây dựng văn bản quy phạm pháp luật năm 2026, Vụ Khoa học công nghệ, môi trường và Vật liệu xây dựng kính trình Bộ trưởng dự thảo Thông tư ban hành Danh mục sản phẩm, hàng hóa có mức độ rủi ro trung bình, mức độ rủi ro cao lĩnh vực giao thông vận tải thuộc phạm vi quản lý của Bộ Xây dựng như sau:</w:t>
      </w:r>
    </w:p>
    <w:p w:rsidR="00FD4DF4" w:rsidRPr="00285FAF" w:rsidRDefault="00FD4DF4" w:rsidP="00285FAF">
      <w:pPr>
        <w:spacing w:before="120" w:after="120" w:line="240" w:lineRule="auto"/>
        <w:ind w:firstLine="720"/>
        <w:jc w:val="both"/>
        <w:rPr>
          <w:rFonts w:ascii="Times New Roman" w:hAnsi="Times New Roman" w:cs="Times New Roman"/>
          <w:b/>
          <w:sz w:val="28"/>
          <w:szCs w:val="28"/>
        </w:rPr>
      </w:pPr>
      <w:r w:rsidRPr="00285FAF">
        <w:rPr>
          <w:rFonts w:ascii="Times New Roman" w:hAnsi="Times New Roman" w:cs="Times New Roman"/>
          <w:b/>
          <w:sz w:val="28"/>
          <w:szCs w:val="28"/>
        </w:rPr>
        <w:t>I. SỰ CẦN THIẾT BAN HÀNH THÔNG TƯ</w:t>
      </w:r>
    </w:p>
    <w:p w:rsidR="00FD4DF4" w:rsidRPr="00285FAF" w:rsidRDefault="00FD4DF4" w:rsidP="00285FAF">
      <w:pPr>
        <w:spacing w:before="120" w:after="120" w:line="240" w:lineRule="auto"/>
        <w:ind w:firstLine="720"/>
        <w:jc w:val="both"/>
        <w:rPr>
          <w:rFonts w:ascii="Times New Roman" w:hAnsi="Times New Roman" w:cs="Times New Roman"/>
          <w:b/>
          <w:sz w:val="28"/>
          <w:szCs w:val="28"/>
        </w:rPr>
      </w:pPr>
      <w:r w:rsidRPr="00285FAF">
        <w:rPr>
          <w:rFonts w:ascii="Times New Roman" w:hAnsi="Times New Roman" w:cs="Times New Roman"/>
          <w:b/>
          <w:sz w:val="28"/>
          <w:szCs w:val="28"/>
        </w:rPr>
        <w:t>1. Cơ sở pháp lý</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 xml:space="preserve">Luật Ban hành văn bản quy phạm pháp luật số 64/2025/QH15 được sửa đổi, bổ sung bởi Luật số 87/2025/QH15; </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 xml:space="preserve">Luật Chất lượng sản phẩm, hàng hóa số 05/2007/QH12 và Luật số 78/2025/QH15 sửa đổi, bổ sung một số điều của Luật Chất lượng sản phẩm, hàng hóa, trong đó sản phẩm, hàng hóa được phân loại theo mức độ rủi ro thành ba loại: sản phẩm, hàng hóa có mức độ rủi ro thấp; sản phẩm, hàng hóa có mức độ rủi ro trung bình; sản phẩm, hàng hóa có mức độ rủi ro cao; </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 xml:space="preserve">Nghị định số 37/2026/NĐ-CP ngày 23/01/2026 của Chính phủ quy định chi tiết một số điều và biện pháp để tổ chức, hướng dẫn thi hành Luật Chất lượng sản phẩm, hàng hóa, trong đó khoản 2 Điều 5 quy định: các bộ quản lý ngành, lĩnh vực có trách nhiệm rà soát, đánh giá mức độ rủi ro của sản phẩm, hàng hóa thuộc phạm vi quản lý; ban hành Danh mục sản phẩm, hàng hóa có mức độ rủi ro trung bình, </w:t>
      </w:r>
      <w:r w:rsidRPr="00285FAF">
        <w:rPr>
          <w:rFonts w:ascii="Times New Roman" w:hAnsi="Times New Roman" w:cs="Times New Roman"/>
          <w:sz w:val="28"/>
          <w:szCs w:val="28"/>
        </w:rPr>
        <w:lastRenderedPageBreak/>
        <w:t xml:space="preserve">mức độ rủi ro cao kèm theo mã số HS phù hợp với Danh mục hàng hóa xuất khẩu, nhập khẩu Việt Nam, gắn với yêu cầu quản lý chất lượng tương ứng, bảo đảm có hiệu lực thực hiện kể từ ngày 01 tháng 7 năm 2026; </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 xml:space="preserve">Căn cứ chức năng, nhiệm vụ được giao của Bộ Xây dựng trong quản lý nhà nước đối với lĩnh vực giao thông vận tải, đăng kiểm, đường bộ, đường sắt, hàng hải, đường thủy nội địa và hàng không. </w:t>
      </w:r>
    </w:p>
    <w:p w:rsidR="00FD4DF4" w:rsidRPr="00285FAF" w:rsidRDefault="00FD4DF4" w:rsidP="00285FAF">
      <w:pPr>
        <w:spacing w:before="120" w:after="120" w:line="240" w:lineRule="auto"/>
        <w:ind w:firstLine="720"/>
        <w:jc w:val="both"/>
        <w:rPr>
          <w:rFonts w:ascii="Times New Roman" w:hAnsi="Times New Roman" w:cs="Times New Roman"/>
          <w:b/>
          <w:sz w:val="28"/>
          <w:szCs w:val="28"/>
        </w:rPr>
      </w:pPr>
      <w:r w:rsidRPr="00285FAF">
        <w:rPr>
          <w:rFonts w:ascii="Times New Roman" w:hAnsi="Times New Roman" w:cs="Times New Roman"/>
          <w:b/>
          <w:sz w:val="28"/>
          <w:szCs w:val="28"/>
        </w:rPr>
        <w:t>2. Cơ sở thực tiễn</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Triển khai Luật Chất lượng sản phẩm, hàng hóa số 05/2007/QH12 và Nghị định số 132/2008/NĐ-CP ngày 31/12/2008 của Chính phủ quy định chi tiết thi hành một số điều của Luật Chất lượng sản phẩm, hàng hóa (được sửa đổi, bổ sung bởi Nghị định số 74/2018/NĐ-CP và Nghị định số 13/2022/NĐ-CP), Bộ trưởng Bộ Giao thông vận tải trước đây đã ban hành Thông tư số 12/2022/TT-BGTVT quy định danh mục sản phẩm, hàng hóa có khả năng gây mất an toàn thuộc trách nhiệm quản lý nhà nước của Bộ Giao thông vận tải; được sửa đổi, bổ sung bởi Thông tư số 62/2024/TT-BGTVT và Thông tư số 71/2025/TT-BXD.</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Sau khi Luật số 78/2025/QH15 và Nghị định số 37/2026/NĐ-CP được ban hành, phương thức quản lý chất lượng sản phẩm, hàng hóa đã chuyển từ cơ chế quản lý theo “sản phẩm, hàng hóa nhóm 2” sang quản lý theo mức độ rủi ro thấp, trung bình và cao.</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Do đó, cần thiết ban hành Thông tư mới để:</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 xml:space="preserve">Thay thế các quy định hiện hành về danh mục sản phẩm, hàng hóa nhóm 2 trong lĩnh vực giao thông vận tải; </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 xml:space="preserve">Chuyển đổi thống nhất sang cơ chế quản lý theo mức độ rủi ro; </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 xml:space="preserve">Xác định rõ mã số HS, yêu cầu quản lý chất lượng tương ứng đối với từng nhóm sản phẩm, hàng hóa; </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 xml:space="preserve">Bảo đảm cơ sở pháp lý cho hoạt động chứng nhận hợp quy, công bố hợp quy, kiểm tra chất lượng sản phẩm, hàng hóa nhập khẩu và quản lý chất lượng trong nước. </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Việc ban hành Thông tư góp phần bảo đảm tính đồng bộ, thống nhất của hệ thống pháp luật; tạo thuận lợi cho tổ chức, cá nhân sản xuất, kinh doanh; đồng thời nâng cao hiệu quả quản lý nhà nước đối với chất lượng sản phẩm, hàng hóa lĩnh vực giao thông vận tải.</w:t>
      </w:r>
    </w:p>
    <w:p w:rsidR="00FD4DF4" w:rsidRPr="00285FAF" w:rsidRDefault="00FD4DF4" w:rsidP="00285FAF">
      <w:pPr>
        <w:spacing w:before="120" w:after="120" w:line="240" w:lineRule="auto"/>
        <w:ind w:firstLine="720"/>
        <w:jc w:val="both"/>
        <w:rPr>
          <w:rFonts w:ascii="Times New Roman" w:hAnsi="Times New Roman" w:cs="Times New Roman"/>
          <w:b/>
          <w:sz w:val="28"/>
          <w:szCs w:val="28"/>
        </w:rPr>
      </w:pPr>
      <w:r w:rsidRPr="00285FAF">
        <w:rPr>
          <w:rFonts w:ascii="Times New Roman" w:hAnsi="Times New Roman" w:cs="Times New Roman"/>
          <w:b/>
          <w:sz w:val="28"/>
          <w:szCs w:val="28"/>
        </w:rPr>
        <w:t>II. MỤC ĐÍCH BAN HÀNH, QUAN ĐIỂM XÂY DỰNG DỰ THẢO THÔNG TƯ</w:t>
      </w:r>
    </w:p>
    <w:p w:rsidR="00FD4DF4" w:rsidRPr="00285FAF" w:rsidRDefault="00FD4DF4" w:rsidP="00285FAF">
      <w:pPr>
        <w:spacing w:before="120" w:after="120" w:line="240" w:lineRule="auto"/>
        <w:ind w:firstLine="720"/>
        <w:jc w:val="both"/>
        <w:rPr>
          <w:rFonts w:ascii="Times New Roman" w:hAnsi="Times New Roman" w:cs="Times New Roman"/>
          <w:b/>
          <w:sz w:val="28"/>
          <w:szCs w:val="28"/>
        </w:rPr>
      </w:pPr>
      <w:r w:rsidRPr="00285FAF">
        <w:rPr>
          <w:rFonts w:ascii="Times New Roman" w:hAnsi="Times New Roman" w:cs="Times New Roman"/>
          <w:b/>
          <w:sz w:val="28"/>
          <w:szCs w:val="28"/>
        </w:rPr>
        <w:t>1. Mục đích ban hành</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lastRenderedPageBreak/>
        <w:t xml:space="preserve">Ban hành Danh mục sản phẩm, hàng hóa có mức độ rủi ro cao và Danh mục sản phẩm, hàng hóa có mức độ rủi ro trung bình lĩnh vực giao thông vận tải thuộc phạm vi quản lý của Bộ Xây dựng; </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 xml:space="preserve">Xác định mã số HS, mô tả sản phẩm, hàng hóa, quy chuẩn kỹ thuật quốc gia tương ứng và yêu cầu quản lý chất lượng đối với từng sản phẩm, hàng hóa trong danh mục; </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 xml:space="preserve">Tạo cơ sở pháp lý để tổ chức, cá nhân sản xuất, kinh doanh thực hiện chứng nhận hợp quy, công bố hợp quy, kiểm tra chất lượng theo quy định pháp luật; </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 xml:space="preserve">Bảo đảm chuyển tiếp thống nhất từ cơ chế quản lý sản phẩm, hàng hóa nhóm 2 sang cơ chế quản lý theo mức độ rủi ro. </w:t>
      </w:r>
    </w:p>
    <w:p w:rsidR="00FD4DF4" w:rsidRPr="00285FAF" w:rsidRDefault="00FD4DF4" w:rsidP="00285FAF">
      <w:pPr>
        <w:spacing w:before="120" w:after="120" w:line="240" w:lineRule="auto"/>
        <w:ind w:firstLine="720"/>
        <w:jc w:val="both"/>
        <w:rPr>
          <w:rFonts w:ascii="Times New Roman" w:hAnsi="Times New Roman" w:cs="Times New Roman"/>
          <w:b/>
          <w:sz w:val="28"/>
          <w:szCs w:val="28"/>
        </w:rPr>
      </w:pPr>
      <w:r w:rsidRPr="00285FAF">
        <w:rPr>
          <w:rFonts w:ascii="Times New Roman" w:hAnsi="Times New Roman" w:cs="Times New Roman"/>
          <w:b/>
          <w:sz w:val="28"/>
          <w:szCs w:val="28"/>
        </w:rPr>
        <w:t>2. Quan điểm xây dựng Thông tư</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 xml:space="preserve">Bảo đảm phù hợp với Luật Chất lượng sản phẩm, hàng hóa và các văn bản quy định chi tiết thi hành; </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 xml:space="preserve">Bám sát quy định của Nghị định số 37/2026/NĐ-CP về phân loại sản phẩm, hàng hóa theo mức độ rủi ro; </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 xml:space="preserve">Bảo đảm công khai, minh bạch, tạo thuận lợi cho tổ chức, cá nhân sản xuất, kinh doanh; </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 xml:space="preserve">Hạn chế chồng chéo, trùng lặp trong hoạt động quản lý chất lượng; </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 xml:space="preserve">Bảo đảm yêu cầu quản lý nhà nước đối với sản phẩm, hàng hóa có nguy cơ ảnh hưởng đến an toàn giao thông, tính mạng, sức khỏe con người, tài sản và môi trường. </w:t>
      </w:r>
    </w:p>
    <w:p w:rsidR="00FD4DF4" w:rsidRPr="00285FAF" w:rsidRDefault="00FD4DF4" w:rsidP="00285FAF">
      <w:pPr>
        <w:spacing w:before="120" w:after="120" w:line="240" w:lineRule="auto"/>
        <w:ind w:firstLine="720"/>
        <w:jc w:val="both"/>
        <w:rPr>
          <w:rFonts w:ascii="Times New Roman" w:hAnsi="Times New Roman" w:cs="Times New Roman"/>
          <w:b/>
          <w:sz w:val="28"/>
          <w:szCs w:val="28"/>
        </w:rPr>
      </w:pPr>
      <w:r w:rsidRPr="00285FAF">
        <w:rPr>
          <w:rFonts w:ascii="Times New Roman" w:hAnsi="Times New Roman" w:cs="Times New Roman"/>
          <w:b/>
          <w:sz w:val="28"/>
          <w:szCs w:val="28"/>
        </w:rPr>
        <w:t>III. QUÁ TRÌNH XÂY DỰNG DỰ THẢO THÔNG TƯ</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Trên cơ sở nhiệm vụ được giao, Vụ Khoa học công nghệ, môi trường và Vật liệu xây dựng đã chủ trì, phối hợp với các cơ quan, đơn vị liên quan rà soát các văn bản quy phạm pháp luật hiện hành, các quy chuẩn kỹ thuật quốc gia đang áp dụng, danh mục sản phẩm, hàng hóa nhóm 2 thuộc lĩnh vực giao thông vận tải và thực tiễn quản lý chất lượng sản phẩm, hàng hóa.</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Vụ Khoa học công nghệ, môi trường và Vật liệu xây dựng đã phối hợp với:</w:t>
      </w:r>
      <w:r w:rsidR="00285FAF" w:rsidRPr="00285FAF">
        <w:rPr>
          <w:rFonts w:ascii="Times New Roman" w:hAnsi="Times New Roman" w:cs="Times New Roman"/>
          <w:sz w:val="28"/>
          <w:szCs w:val="28"/>
        </w:rPr>
        <w:t xml:space="preserve"> các </w:t>
      </w:r>
      <w:r w:rsidRPr="00285FAF">
        <w:rPr>
          <w:rFonts w:ascii="Times New Roman" w:hAnsi="Times New Roman" w:cs="Times New Roman"/>
          <w:sz w:val="28"/>
          <w:szCs w:val="28"/>
        </w:rPr>
        <w:t>Cục</w:t>
      </w:r>
      <w:r w:rsidR="00285FAF" w:rsidRPr="00285FAF">
        <w:rPr>
          <w:rFonts w:ascii="Times New Roman" w:hAnsi="Times New Roman" w:cs="Times New Roman"/>
          <w:sz w:val="28"/>
          <w:szCs w:val="28"/>
        </w:rPr>
        <w:t>:</w:t>
      </w:r>
      <w:r w:rsidRPr="00285FAF">
        <w:rPr>
          <w:rFonts w:ascii="Times New Roman" w:hAnsi="Times New Roman" w:cs="Times New Roman"/>
          <w:sz w:val="28"/>
          <w:szCs w:val="28"/>
        </w:rPr>
        <w:t xml:space="preserve"> Đăng kiểm Việt Nam</w:t>
      </w:r>
      <w:r w:rsidR="00285FAF" w:rsidRPr="00285FAF">
        <w:rPr>
          <w:rFonts w:ascii="Times New Roman" w:hAnsi="Times New Roman" w:cs="Times New Roman"/>
          <w:sz w:val="28"/>
          <w:szCs w:val="28"/>
        </w:rPr>
        <w:t xml:space="preserve">, </w:t>
      </w:r>
      <w:r w:rsidRPr="00285FAF">
        <w:rPr>
          <w:rFonts w:ascii="Times New Roman" w:hAnsi="Times New Roman" w:cs="Times New Roman"/>
          <w:sz w:val="28"/>
          <w:szCs w:val="28"/>
        </w:rPr>
        <w:t>Đường bộ Việt Nam</w:t>
      </w:r>
      <w:r w:rsidR="00285FAF" w:rsidRPr="00285FAF">
        <w:rPr>
          <w:rFonts w:ascii="Times New Roman" w:hAnsi="Times New Roman" w:cs="Times New Roman"/>
          <w:sz w:val="28"/>
          <w:szCs w:val="28"/>
        </w:rPr>
        <w:t>,</w:t>
      </w:r>
      <w:r w:rsidRPr="00285FAF">
        <w:rPr>
          <w:rFonts w:ascii="Times New Roman" w:hAnsi="Times New Roman" w:cs="Times New Roman"/>
          <w:sz w:val="28"/>
          <w:szCs w:val="28"/>
        </w:rPr>
        <w:t xml:space="preserve"> Hàng hải và Đường thủy Việ</w:t>
      </w:r>
      <w:r w:rsidR="00285FAF" w:rsidRPr="00285FAF">
        <w:rPr>
          <w:rFonts w:ascii="Times New Roman" w:hAnsi="Times New Roman" w:cs="Times New Roman"/>
          <w:sz w:val="28"/>
          <w:szCs w:val="28"/>
        </w:rPr>
        <w:t xml:space="preserve">t Nam, </w:t>
      </w:r>
      <w:r w:rsidRPr="00285FAF">
        <w:rPr>
          <w:rFonts w:ascii="Times New Roman" w:hAnsi="Times New Roman" w:cs="Times New Roman"/>
          <w:sz w:val="28"/>
          <w:szCs w:val="28"/>
        </w:rPr>
        <w:t>Hàng không Việt Nam</w:t>
      </w:r>
      <w:r w:rsidR="00285FAF" w:rsidRPr="00285FAF">
        <w:rPr>
          <w:rFonts w:ascii="Times New Roman" w:hAnsi="Times New Roman" w:cs="Times New Roman"/>
          <w:sz w:val="28"/>
          <w:szCs w:val="28"/>
        </w:rPr>
        <w:t xml:space="preserve">, </w:t>
      </w:r>
      <w:r w:rsidRPr="00285FAF">
        <w:rPr>
          <w:rFonts w:ascii="Times New Roman" w:hAnsi="Times New Roman" w:cs="Times New Roman"/>
          <w:sz w:val="28"/>
          <w:szCs w:val="28"/>
        </w:rPr>
        <w:t>Đường sắt Việt Nam để rà soát, đánh giá mức độ rủi ro đối với các nhóm sản phẩm, hàng hóa thuộc phạm vi quản lý chuyên ngành theo phương pháp đánh giá rủi ro quy định tại Phụ lục VI Nghị định số 37/2026/NĐ-CP.</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Dự thảo Thông tư đã được lấy ý kiến các cơ quan, đơn vị thuộc Bộ, các bộ, ngành, địa phương, hiệp hội, doanh nghiệp và tổ chức có liên quan; đăng tải trên Cổng thông tin điện tử của Bộ Xây dựng để lấy ý kiến rộng rãi theo quy định.</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lastRenderedPageBreak/>
        <w:t>Trên cơ sở ý kiến góp ý, cơ quan chủ trì soạn thảo đã tổng hợp, giải trình, tiếp thu và hoàn thiện hồ sơ dự thảo Thông tư theo quy định của Luật Ban hành văn bản quy phạm pháp luật.</w:t>
      </w:r>
    </w:p>
    <w:p w:rsidR="00FD4DF4" w:rsidRPr="00285FAF" w:rsidRDefault="00FD4DF4" w:rsidP="00285FAF">
      <w:pPr>
        <w:spacing w:before="120" w:after="120" w:line="240" w:lineRule="auto"/>
        <w:ind w:firstLine="720"/>
        <w:jc w:val="both"/>
        <w:rPr>
          <w:rFonts w:ascii="Times New Roman" w:hAnsi="Times New Roman" w:cs="Times New Roman"/>
          <w:b/>
          <w:sz w:val="28"/>
          <w:szCs w:val="28"/>
        </w:rPr>
      </w:pPr>
      <w:r w:rsidRPr="00285FAF">
        <w:rPr>
          <w:rFonts w:ascii="Times New Roman" w:hAnsi="Times New Roman" w:cs="Times New Roman"/>
          <w:b/>
          <w:sz w:val="28"/>
          <w:szCs w:val="28"/>
        </w:rPr>
        <w:t>IV. BỐ CỤC VÀ NỘI DUNG CƠ BẢN CỦA DỰ THẢO THÔNG TƯ</w:t>
      </w:r>
    </w:p>
    <w:p w:rsidR="00FD4DF4" w:rsidRPr="00285FAF" w:rsidRDefault="00FD4DF4" w:rsidP="00285FAF">
      <w:pPr>
        <w:spacing w:before="120" w:after="120" w:line="240" w:lineRule="auto"/>
        <w:ind w:firstLine="720"/>
        <w:jc w:val="both"/>
        <w:rPr>
          <w:rFonts w:ascii="Times New Roman" w:hAnsi="Times New Roman" w:cs="Times New Roman"/>
          <w:b/>
          <w:sz w:val="28"/>
          <w:szCs w:val="28"/>
        </w:rPr>
      </w:pPr>
      <w:r w:rsidRPr="00285FAF">
        <w:rPr>
          <w:rFonts w:ascii="Times New Roman" w:hAnsi="Times New Roman" w:cs="Times New Roman"/>
          <w:b/>
          <w:sz w:val="28"/>
          <w:szCs w:val="28"/>
        </w:rPr>
        <w:t>1. Phạm vi điều chỉnh, đối tượng áp dụng</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Dự thảo Thông tư quy định:</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 xml:space="preserve">Danh mục sản phẩm, hàng hóa có mức độ rủi ro cao; </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 xml:space="preserve">Danh mục sản phẩm, hàng hóa có mức độ rủi ro trung bình; </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 xml:space="preserve">Mã số HS, quy chuẩn kỹ thuật quốc gia tương ứng và yêu cầu quản lý chất lượng đối với các sản phẩm, hàng hóa thuộc lĩnh vực giao thông vận tải thuộc phạm vi quản lý của Bộ Xây dựng. </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Đối tượng áp dụng gồm:</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 xml:space="preserve">Tổ chức, cá nhân sản xuất, kinh doanh sản phẩm, hàng hóa thuộc Danh mục; </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 xml:space="preserve">Tổ chức đánh giá sự phù hợp; </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 xml:space="preserve">Cơ quan quản lý nhà nước và các tổ chức, cá nhân có liên quan. </w:t>
      </w:r>
    </w:p>
    <w:p w:rsidR="00FD4DF4" w:rsidRPr="00285FAF" w:rsidRDefault="00FD4DF4" w:rsidP="00285FAF">
      <w:pPr>
        <w:spacing w:before="120" w:after="120" w:line="240" w:lineRule="auto"/>
        <w:ind w:firstLine="720"/>
        <w:jc w:val="both"/>
        <w:rPr>
          <w:rFonts w:ascii="Times New Roman" w:hAnsi="Times New Roman" w:cs="Times New Roman"/>
          <w:b/>
          <w:sz w:val="28"/>
          <w:szCs w:val="28"/>
        </w:rPr>
      </w:pPr>
      <w:r w:rsidRPr="00285FAF">
        <w:rPr>
          <w:rFonts w:ascii="Times New Roman" w:hAnsi="Times New Roman" w:cs="Times New Roman"/>
          <w:b/>
          <w:sz w:val="28"/>
          <w:szCs w:val="28"/>
        </w:rPr>
        <w:t>2. Bố cục của Thông tư</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Dự thảo Thông tư gồm:</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 xml:space="preserve">Các điều quy định về phạm vi điều chỉnh, đối tượng áp dụng; </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 xml:space="preserve">Danh mục sản phẩm, hàng hóa có mức độ rủi ro cao; </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 xml:space="preserve">Danh mục sản phẩm, hàng hóa có mức độ rủi ro trung bình; </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 xml:space="preserve">Nguyên tắc quản lý chất lượng; </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 xml:space="preserve">Điều khoản chuyển tiếp; </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 xml:space="preserve">Tổ chức thực hiện; </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 xml:space="preserve">Các phụ lục kèm theo. </w:t>
      </w:r>
    </w:p>
    <w:p w:rsidR="00FD4DF4" w:rsidRPr="00285FAF" w:rsidRDefault="00FD4DF4" w:rsidP="00285FAF">
      <w:pPr>
        <w:spacing w:before="120" w:after="120" w:line="240" w:lineRule="auto"/>
        <w:ind w:firstLine="720"/>
        <w:jc w:val="both"/>
        <w:rPr>
          <w:rFonts w:ascii="Times New Roman" w:hAnsi="Times New Roman" w:cs="Times New Roman"/>
          <w:b/>
          <w:sz w:val="28"/>
          <w:szCs w:val="28"/>
        </w:rPr>
      </w:pPr>
      <w:r w:rsidRPr="00285FAF">
        <w:rPr>
          <w:rFonts w:ascii="Times New Roman" w:hAnsi="Times New Roman" w:cs="Times New Roman"/>
          <w:b/>
          <w:sz w:val="28"/>
          <w:szCs w:val="28"/>
        </w:rPr>
        <w:t>3. Nội dung cơ bản của dự thảo Thông tư</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Dự thảo Thông tư quy định Danh mục sản phẩm, hàng hóa có mức độ rủi ro trung bình, mức độ rủi ro cao lĩnh vực đăng kiểm, đường bộ, đường sắt, hàng hải, đường thủy nội địa và hàng không thuộc trách nhiệm quản lý của Bộ Xây dựng.</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Đối với sản phẩm, hàng hóa rủi ro cao, yêu cầu quản lý được thực hiện thông qua chứng nhận hợp quy bởi tổ chức chứng nhận được chỉ định và kiểm tra chất lượng theo quy định.</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lastRenderedPageBreak/>
        <w:t>Đối với sản phẩm, hàng hóa rủi ro trung bình, việc đánh giá sự phù hợp được thực hiện theo cơ chế phù hợp với mức độ rủi ro, tạo thuận lợi cho doanh nghiệp nhưng vẫn bảo đảm yêu cầu quản lý nhà nước.</w:t>
      </w:r>
    </w:p>
    <w:p w:rsidR="00FD4DF4" w:rsidRPr="00285FAF" w:rsidRDefault="00FD4DF4" w:rsidP="00285FAF">
      <w:pPr>
        <w:spacing w:before="120" w:after="120" w:line="240" w:lineRule="auto"/>
        <w:ind w:firstLine="720"/>
        <w:jc w:val="both"/>
        <w:rPr>
          <w:rFonts w:ascii="Times New Roman" w:hAnsi="Times New Roman" w:cs="Times New Roman"/>
          <w:b/>
          <w:sz w:val="28"/>
          <w:szCs w:val="28"/>
        </w:rPr>
      </w:pPr>
      <w:r w:rsidRPr="00285FAF">
        <w:rPr>
          <w:rFonts w:ascii="Times New Roman" w:hAnsi="Times New Roman" w:cs="Times New Roman"/>
          <w:b/>
          <w:sz w:val="28"/>
          <w:szCs w:val="28"/>
        </w:rPr>
        <w:t>V. ĐÁNH GIÁ THỦ TỤC HÀNH CHÍNH, PHÂN CẤP, PHÂN QUYỀN</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Dự thảo Thông tư không quy định thủ tục hành chính mới; không làm phát sinh thêm thành phần hồ sơ, trình tự, thời hạn giải quyết hoặc chi phí tuân thủ ngoài các quy định của pháp luật hiện hành.</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Việc ban hành Thông tư góp phần minh bạch hóa phạm vi quản lý, tạo thuận lợi cho tổ chức, cá nhân trong quá trình thực hiện chứng nhận hợp quy, công bố hợp quy và kiểm tra chất lượng sản phẩm, hàng hóa.</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Dự thảo Thông tư không làm phát sinh cơ chế phân cấp, phân quyền mới ngoài các quy định của pháp luật hiện hành.</w:t>
      </w:r>
    </w:p>
    <w:p w:rsidR="00FD4DF4" w:rsidRPr="00285FAF" w:rsidRDefault="00FD4DF4" w:rsidP="00285FAF">
      <w:pPr>
        <w:spacing w:before="120" w:after="120" w:line="240" w:lineRule="auto"/>
        <w:ind w:firstLine="720"/>
        <w:jc w:val="both"/>
        <w:rPr>
          <w:rFonts w:ascii="Times New Roman" w:hAnsi="Times New Roman" w:cs="Times New Roman"/>
          <w:b/>
          <w:sz w:val="28"/>
          <w:szCs w:val="28"/>
        </w:rPr>
      </w:pPr>
      <w:r w:rsidRPr="00285FAF">
        <w:rPr>
          <w:rFonts w:ascii="Times New Roman" w:hAnsi="Times New Roman" w:cs="Times New Roman"/>
          <w:b/>
          <w:sz w:val="28"/>
          <w:szCs w:val="28"/>
        </w:rPr>
        <w:t>VI. DỰ KIẾN NGUỒN LỰC, ĐIỀU KIỆN BẢO ĐẢM THI HÀNH</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 xml:space="preserve">Về tổ chức bộ máy: sử dụng bộ máy, nhân lực hiện có của các cơ quan, đơn vị thuộc Bộ Xây dựng; </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 xml:space="preserve">Về tài chính: kinh phí thực hiện được bảo đảm từ nguồn ngân sách nhà nước theo phân cấp hiện hành và các nguồn kinh phí hợp pháp khác; </w:t>
      </w:r>
    </w:p>
    <w:p w:rsidR="00FD4DF4" w:rsidRPr="00285FAF" w:rsidRDefault="00FD4DF4" w:rsidP="00285FAF">
      <w:pPr>
        <w:spacing w:before="120" w:after="12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 xml:space="preserve">Về thời gian trình ban hành: dự kiến trình Bộ trưởng trong tháng </w:t>
      </w:r>
      <w:r w:rsidR="00285FAF" w:rsidRPr="00285FAF">
        <w:rPr>
          <w:rFonts w:ascii="Times New Roman" w:hAnsi="Times New Roman" w:cs="Times New Roman"/>
          <w:sz w:val="28"/>
          <w:szCs w:val="28"/>
        </w:rPr>
        <w:t>6</w:t>
      </w:r>
      <w:r w:rsidRPr="00285FAF">
        <w:rPr>
          <w:rFonts w:ascii="Times New Roman" w:hAnsi="Times New Roman" w:cs="Times New Roman"/>
          <w:sz w:val="28"/>
          <w:szCs w:val="28"/>
        </w:rPr>
        <w:t xml:space="preserve"> năm 2026 để bảo đảm có hiệu lực từ ngày 01/7/2026. </w:t>
      </w:r>
    </w:p>
    <w:p w:rsidR="00FD4DF4" w:rsidRPr="00285FAF" w:rsidRDefault="00FD4DF4" w:rsidP="00285FAF">
      <w:pPr>
        <w:spacing w:before="120" w:after="120" w:line="240" w:lineRule="auto"/>
        <w:ind w:firstLine="720"/>
        <w:jc w:val="both"/>
        <w:rPr>
          <w:rFonts w:ascii="Times New Roman" w:hAnsi="Times New Roman" w:cs="Times New Roman"/>
          <w:b/>
          <w:sz w:val="28"/>
          <w:szCs w:val="28"/>
        </w:rPr>
      </w:pPr>
      <w:r w:rsidRPr="00285FAF">
        <w:rPr>
          <w:rFonts w:ascii="Times New Roman" w:hAnsi="Times New Roman" w:cs="Times New Roman"/>
          <w:b/>
          <w:sz w:val="28"/>
          <w:szCs w:val="28"/>
        </w:rPr>
        <w:t>VII. KIẾN NGHỊ</w:t>
      </w:r>
    </w:p>
    <w:p w:rsidR="00FD4DF4" w:rsidRPr="00285FAF" w:rsidRDefault="00FD4DF4" w:rsidP="00285FAF">
      <w:pPr>
        <w:spacing w:before="120" w:after="240" w:line="240" w:lineRule="auto"/>
        <w:ind w:firstLine="720"/>
        <w:jc w:val="both"/>
        <w:rPr>
          <w:rFonts w:ascii="Times New Roman" w:hAnsi="Times New Roman" w:cs="Times New Roman"/>
          <w:sz w:val="28"/>
          <w:szCs w:val="28"/>
        </w:rPr>
      </w:pPr>
      <w:r w:rsidRPr="00285FAF">
        <w:rPr>
          <w:rFonts w:ascii="Times New Roman" w:hAnsi="Times New Roman" w:cs="Times New Roman"/>
          <w:sz w:val="28"/>
          <w:szCs w:val="28"/>
        </w:rPr>
        <w:t>Trên đây là Tờ trình dự thảo Thông tư ban hành Danh mục sản phẩm, hàng hóa có mức độ rủi ro trung bình, mức độ rủi ro cao lĩnh vực giao thông vận tải thuộc phạm vi quản lý của Bộ Xây dựng, Vụ Khoa học công nghệ, môi trường và Vật liệu xây dựng kính trình Bộ trưởng xem xét, ký ban hành./.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245"/>
      </w:tblGrid>
      <w:tr w:rsidR="0057456A" w:rsidTr="00285FAF">
        <w:tc>
          <w:tcPr>
            <w:tcW w:w="4361" w:type="dxa"/>
          </w:tcPr>
          <w:p w:rsidR="0057456A" w:rsidRPr="00FD4DF4" w:rsidRDefault="0057456A" w:rsidP="0057456A">
            <w:pPr>
              <w:rPr>
                <w:rFonts w:ascii="Times New Roman" w:eastAsia="Times New Roman" w:hAnsi="Times New Roman" w:cs="Times New Roman"/>
                <w:b/>
                <w:i/>
                <w:sz w:val="24"/>
                <w:szCs w:val="24"/>
              </w:rPr>
            </w:pPr>
            <w:r w:rsidRPr="00FD4DF4">
              <w:rPr>
                <w:rFonts w:ascii="Times New Roman" w:eastAsia="Times New Roman" w:hAnsi="Times New Roman" w:cs="Times New Roman"/>
                <w:b/>
                <w:i/>
                <w:sz w:val="24"/>
                <w:szCs w:val="24"/>
              </w:rPr>
              <w:t>Nơi nhận:</w:t>
            </w:r>
          </w:p>
          <w:p w:rsidR="0057456A" w:rsidRPr="00285FAF" w:rsidRDefault="0057456A" w:rsidP="0057456A">
            <w:pPr>
              <w:rPr>
                <w:rFonts w:ascii="Times New Roman" w:eastAsia="Times New Roman" w:hAnsi="Times New Roman" w:cs="Times New Roman"/>
              </w:rPr>
            </w:pPr>
            <w:r w:rsidRPr="00285FAF">
              <w:rPr>
                <w:rFonts w:ascii="Times New Roman" w:eastAsia="Times New Roman" w:hAnsi="Times New Roman" w:cs="Times New Roman"/>
              </w:rPr>
              <w:t xml:space="preserve">- Như trên; </w:t>
            </w:r>
          </w:p>
          <w:p w:rsidR="0057456A" w:rsidRPr="00285FAF" w:rsidRDefault="00285FAF" w:rsidP="0057456A">
            <w:pPr>
              <w:rPr>
                <w:rFonts w:ascii="Times New Roman" w:eastAsia="Times New Roman" w:hAnsi="Times New Roman" w:cs="Times New Roman"/>
              </w:rPr>
            </w:pPr>
            <w:r>
              <w:rPr>
                <w:rFonts w:ascii="Times New Roman" w:eastAsia="Times New Roman" w:hAnsi="Times New Roman" w:cs="Times New Roman"/>
              </w:rPr>
              <w:t>- Thứ trưởng Nguyễn Xuân</w:t>
            </w:r>
            <w:bookmarkStart w:id="0" w:name="_GoBack"/>
            <w:bookmarkEnd w:id="0"/>
            <w:r>
              <w:rPr>
                <w:rFonts w:ascii="Times New Roman" w:eastAsia="Times New Roman" w:hAnsi="Times New Roman" w:cs="Times New Roman"/>
              </w:rPr>
              <w:t xml:space="preserve"> Sang (để b/c);</w:t>
            </w:r>
            <w:r w:rsidR="0057456A" w:rsidRPr="00285FAF">
              <w:rPr>
                <w:rFonts w:ascii="Times New Roman" w:eastAsia="Times New Roman" w:hAnsi="Times New Roman" w:cs="Times New Roman"/>
              </w:rPr>
              <w:t xml:space="preserve"> </w:t>
            </w:r>
          </w:p>
          <w:p w:rsidR="0057456A" w:rsidRPr="00FD4DF4" w:rsidRDefault="0057456A" w:rsidP="0057456A">
            <w:pPr>
              <w:rPr>
                <w:rFonts w:ascii="Times New Roman" w:eastAsia="Times New Roman" w:hAnsi="Times New Roman" w:cs="Times New Roman"/>
                <w:sz w:val="24"/>
                <w:szCs w:val="24"/>
              </w:rPr>
            </w:pPr>
            <w:r w:rsidRPr="00285FAF">
              <w:rPr>
                <w:rFonts w:ascii="Times New Roman" w:eastAsia="Times New Roman" w:hAnsi="Times New Roman" w:cs="Times New Roman"/>
              </w:rPr>
              <w:t>- Lưu: VT, KHCNMT&amp;VLXD</w:t>
            </w:r>
            <w:r w:rsidR="00AF3F35">
              <w:rPr>
                <w:rFonts w:ascii="Times New Roman" w:eastAsia="Times New Roman" w:hAnsi="Times New Roman" w:cs="Times New Roman"/>
                <w:vertAlign w:val="subscript"/>
              </w:rPr>
              <w:t>(H.Lưu)</w:t>
            </w:r>
            <w:r w:rsidRPr="00285FAF">
              <w:rPr>
                <w:rFonts w:ascii="Times New Roman" w:eastAsia="Times New Roman" w:hAnsi="Times New Roman" w:cs="Times New Roman"/>
              </w:rPr>
              <w:t>.</w:t>
            </w:r>
            <w:r w:rsidRPr="00FD4DF4">
              <w:rPr>
                <w:rFonts w:ascii="Times New Roman" w:eastAsia="Times New Roman" w:hAnsi="Times New Roman" w:cs="Times New Roman"/>
                <w:sz w:val="24"/>
                <w:szCs w:val="24"/>
              </w:rPr>
              <w:t xml:space="preserve"> </w:t>
            </w:r>
          </w:p>
          <w:p w:rsidR="0057456A" w:rsidRDefault="0057456A" w:rsidP="0057456A">
            <w:pPr>
              <w:rPr>
                <w:rFonts w:ascii="Times New Roman" w:eastAsia="Times New Roman" w:hAnsi="Times New Roman" w:cs="Times New Roman"/>
                <w:sz w:val="24"/>
                <w:szCs w:val="24"/>
              </w:rPr>
            </w:pPr>
          </w:p>
        </w:tc>
        <w:tc>
          <w:tcPr>
            <w:tcW w:w="5245" w:type="dxa"/>
          </w:tcPr>
          <w:p w:rsidR="0057456A" w:rsidRPr="00C11A19" w:rsidRDefault="0057456A" w:rsidP="0057456A">
            <w:pPr>
              <w:jc w:val="center"/>
              <w:rPr>
                <w:rFonts w:ascii="Times New Roman" w:eastAsia="Times New Roman" w:hAnsi="Times New Roman" w:cs="Times New Roman"/>
                <w:sz w:val="28"/>
                <w:szCs w:val="28"/>
              </w:rPr>
            </w:pPr>
            <w:r w:rsidRPr="00C11A19">
              <w:rPr>
                <w:rFonts w:ascii="Times New Roman" w:eastAsia="Times New Roman" w:hAnsi="Times New Roman" w:cs="Times New Roman"/>
                <w:b/>
                <w:bCs/>
                <w:sz w:val="28"/>
                <w:szCs w:val="28"/>
              </w:rPr>
              <w:t>VỤ TRƯỞNG</w:t>
            </w:r>
          </w:p>
          <w:p w:rsidR="00285FAF" w:rsidRDefault="00285FAF" w:rsidP="0057456A">
            <w:pPr>
              <w:rPr>
                <w:rFonts w:ascii="Times New Roman" w:eastAsia="Times New Roman" w:hAnsi="Times New Roman" w:cs="Times New Roman"/>
                <w:sz w:val="24"/>
                <w:szCs w:val="24"/>
              </w:rPr>
            </w:pPr>
          </w:p>
          <w:p w:rsidR="00285FAF" w:rsidRDefault="00285FAF" w:rsidP="0057456A">
            <w:pPr>
              <w:rPr>
                <w:rFonts w:ascii="Times New Roman" w:eastAsia="Times New Roman" w:hAnsi="Times New Roman" w:cs="Times New Roman"/>
                <w:sz w:val="24"/>
                <w:szCs w:val="24"/>
              </w:rPr>
            </w:pPr>
          </w:p>
          <w:p w:rsidR="00285FAF" w:rsidRDefault="00285FAF" w:rsidP="0057456A">
            <w:pPr>
              <w:rPr>
                <w:rFonts w:ascii="Times New Roman" w:eastAsia="Times New Roman" w:hAnsi="Times New Roman" w:cs="Times New Roman"/>
                <w:sz w:val="24"/>
                <w:szCs w:val="24"/>
              </w:rPr>
            </w:pPr>
          </w:p>
          <w:p w:rsidR="00285FAF" w:rsidRDefault="00285FAF" w:rsidP="0057456A">
            <w:pPr>
              <w:rPr>
                <w:rFonts w:ascii="Times New Roman" w:eastAsia="Times New Roman" w:hAnsi="Times New Roman" w:cs="Times New Roman"/>
                <w:sz w:val="24"/>
                <w:szCs w:val="24"/>
              </w:rPr>
            </w:pPr>
          </w:p>
          <w:p w:rsidR="00285FAF" w:rsidRDefault="00285FAF" w:rsidP="0057456A">
            <w:pPr>
              <w:rPr>
                <w:rFonts w:ascii="Times New Roman" w:eastAsia="Times New Roman" w:hAnsi="Times New Roman" w:cs="Times New Roman"/>
                <w:sz w:val="24"/>
                <w:szCs w:val="24"/>
              </w:rPr>
            </w:pPr>
          </w:p>
          <w:p w:rsidR="00285FAF" w:rsidRDefault="00285FAF" w:rsidP="0057456A">
            <w:pPr>
              <w:rPr>
                <w:rFonts w:ascii="Times New Roman" w:eastAsia="Times New Roman" w:hAnsi="Times New Roman" w:cs="Times New Roman"/>
                <w:sz w:val="24"/>
                <w:szCs w:val="24"/>
              </w:rPr>
            </w:pPr>
          </w:p>
          <w:p w:rsidR="0057456A" w:rsidRPr="00285FAF" w:rsidRDefault="00285FAF" w:rsidP="00285FAF">
            <w:pPr>
              <w:jc w:val="center"/>
              <w:rPr>
                <w:rFonts w:ascii="Times New Roman" w:eastAsia="Times New Roman" w:hAnsi="Times New Roman" w:cs="Times New Roman"/>
                <w:b/>
                <w:sz w:val="28"/>
                <w:szCs w:val="28"/>
              </w:rPr>
            </w:pPr>
            <w:r w:rsidRPr="00285FAF">
              <w:rPr>
                <w:rFonts w:ascii="Times New Roman" w:eastAsia="Times New Roman" w:hAnsi="Times New Roman" w:cs="Times New Roman"/>
                <w:b/>
                <w:sz w:val="28"/>
                <w:szCs w:val="28"/>
              </w:rPr>
              <w:t>Lê Văn Dương</w:t>
            </w:r>
          </w:p>
        </w:tc>
      </w:tr>
    </w:tbl>
    <w:p w:rsidR="00740501" w:rsidRDefault="005E65C0"/>
    <w:sectPr w:rsidR="00740501" w:rsidSect="00AF3F35">
      <w:headerReference w:type="default" r:id="rId8"/>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65C0" w:rsidRDefault="005E65C0" w:rsidP="00AF3F35">
      <w:pPr>
        <w:spacing w:after="0" w:line="240" w:lineRule="auto"/>
      </w:pPr>
      <w:r>
        <w:separator/>
      </w:r>
    </w:p>
  </w:endnote>
  <w:endnote w:type="continuationSeparator" w:id="0">
    <w:p w:rsidR="005E65C0" w:rsidRDefault="005E65C0" w:rsidP="00AF3F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65C0" w:rsidRDefault="005E65C0" w:rsidP="00AF3F35">
      <w:pPr>
        <w:spacing w:after="0" w:line="240" w:lineRule="auto"/>
      </w:pPr>
      <w:r>
        <w:separator/>
      </w:r>
    </w:p>
  </w:footnote>
  <w:footnote w:type="continuationSeparator" w:id="0">
    <w:p w:rsidR="005E65C0" w:rsidRDefault="005E65C0" w:rsidP="00AF3F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1418551"/>
      <w:docPartObj>
        <w:docPartGallery w:val="Page Numbers (Top of Page)"/>
        <w:docPartUnique/>
      </w:docPartObj>
    </w:sdtPr>
    <w:sdtEndPr>
      <w:rPr>
        <w:noProof/>
      </w:rPr>
    </w:sdtEndPr>
    <w:sdtContent>
      <w:p w:rsidR="00AF3F35" w:rsidRDefault="00AF3F35">
        <w:pPr>
          <w:pStyle w:val="Header"/>
          <w:jc w:val="center"/>
        </w:pPr>
        <w:r w:rsidRPr="00AF3F35">
          <w:rPr>
            <w:rFonts w:ascii="Times New Roman" w:hAnsi="Times New Roman" w:cs="Times New Roman"/>
            <w:sz w:val="28"/>
            <w:szCs w:val="28"/>
          </w:rPr>
          <w:fldChar w:fldCharType="begin"/>
        </w:r>
        <w:r w:rsidRPr="00AF3F35">
          <w:rPr>
            <w:rFonts w:ascii="Times New Roman" w:hAnsi="Times New Roman" w:cs="Times New Roman"/>
            <w:sz w:val="28"/>
            <w:szCs w:val="28"/>
          </w:rPr>
          <w:instrText xml:space="preserve"> PAGE   \* MERGEFORMAT </w:instrText>
        </w:r>
        <w:r w:rsidRPr="00AF3F35">
          <w:rPr>
            <w:rFonts w:ascii="Times New Roman" w:hAnsi="Times New Roman" w:cs="Times New Roman"/>
            <w:sz w:val="28"/>
            <w:szCs w:val="28"/>
          </w:rPr>
          <w:fldChar w:fldCharType="separate"/>
        </w:r>
        <w:r>
          <w:rPr>
            <w:rFonts w:ascii="Times New Roman" w:hAnsi="Times New Roman" w:cs="Times New Roman"/>
            <w:noProof/>
            <w:sz w:val="28"/>
            <w:szCs w:val="28"/>
          </w:rPr>
          <w:t>4</w:t>
        </w:r>
        <w:r w:rsidRPr="00AF3F35">
          <w:rPr>
            <w:rFonts w:ascii="Times New Roman" w:hAnsi="Times New Roman" w:cs="Times New Roman"/>
            <w:noProof/>
            <w:sz w:val="28"/>
            <w:szCs w:val="28"/>
          </w:rPr>
          <w:fldChar w:fldCharType="end"/>
        </w:r>
      </w:p>
    </w:sdtContent>
  </w:sdt>
  <w:p w:rsidR="00AF3F35" w:rsidRDefault="00AF3F3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140E6"/>
    <w:multiLevelType w:val="multilevel"/>
    <w:tmpl w:val="F4143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1068E7"/>
    <w:multiLevelType w:val="multilevel"/>
    <w:tmpl w:val="5790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FF3F7C"/>
    <w:multiLevelType w:val="multilevel"/>
    <w:tmpl w:val="957C5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B43C59"/>
    <w:multiLevelType w:val="multilevel"/>
    <w:tmpl w:val="A50AD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3E14024"/>
    <w:multiLevelType w:val="multilevel"/>
    <w:tmpl w:val="B2E6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BB43CD"/>
    <w:multiLevelType w:val="multilevel"/>
    <w:tmpl w:val="B756F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2E449B"/>
    <w:multiLevelType w:val="multilevel"/>
    <w:tmpl w:val="3EA0F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1BD6B1B"/>
    <w:multiLevelType w:val="multilevel"/>
    <w:tmpl w:val="5F62C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2E41A8B"/>
    <w:multiLevelType w:val="multilevel"/>
    <w:tmpl w:val="15301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4E4413E"/>
    <w:multiLevelType w:val="multilevel"/>
    <w:tmpl w:val="386A8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7"/>
  </w:num>
  <w:num w:numId="4">
    <w:abstractNumId w:val="9"/>
  </w:num>
  <w:num w:numId="5">
    <w:abstractNumId w:val="6"/>
  </w:num>
  <w:num w:numId="6">
    <w:abstractNumId w:val="0"/>
  </w:num>
  <w:num w:numId="7">
    <w:abstractNumId w:val="8"/>
  </w:num>
  <w:num w:numId="8">
    <w:abstractNumId w:val="1"/>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DF4"/>
    <w:rsid w:val="00142ABA"/>
    <w:rsid w:val="001C6FAE"/>
    <w:rsid w:val="00285FAF"/>
    <w:rsid w:val="003B2541"/>
    <w:rsid w:val="00494210"/>
    <w:rsid w:val="0057456A"/>
    <w:rsid w:val="005B3C07"/>
    <w:rsid w:val="005E65C0"/>
    <w:rsid w:val="00AF3F35"/>
    <w:rsid w:val="00C11A19"/>
    <w:rsid w:val="00FD4D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4C95F"/>
  <w15:docId w15:val="{0867860D-BEBD-46BA-B9B6-A66E5624E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FD4DF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FD4D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FD4DF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4DF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D4DF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FD4DF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FD4DF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D4DF4"/>
    <w:rPr>
      <w:b/>
      <w:bCs/>
    </w:rPr>
  </w:style>
  <w:style w:type="table" w:styleId="TableGrid">
    <w:name w:val="Table Grid"/>
    <w:basedOn w:val="TableNormal"/>
    <w:uiPriority w:val="59"/>
    <w:rsid w:val="00FD4D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456A"/>
    <w:pPr>
      <w:ind w:left="720"/>
      <w:contextualSpacing/>
    </w:pPr>
  </w:style>
  <w:style w:type="paragraph" w:styleId="Header">
    <w:name w:val="header"/>
    <w:basedOn w:val="Normal"/>
    <w:link w:val="HeaderChar"/>
    <w:uiPriority w:val="99"/>
    <w:unhideWhenUsed/>
    <w:rsid w:val="00AF3F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3F35"/>
  </w:style>
  <w:style w:type="paragraph" w:styleId="Footer">
    <w:name w:val="footer"/>
    <w:basedOn w:val="Normal"/>
    <w:link w:val="FooterChar"/>
    <w:uiPriority w:val="99"/>
    <w:unhideWhenUsed/>
    <w:rsid w:val="00AF3F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3F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02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D9761-FF03-4E55-9C1A-AB47AA777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1392</Words>
  <Characters>7941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DungPC</dc:creator>
  <cp:lastModifiedBy>Windows User</cp:lastModifiedBy>
  <cp:revision>8</cp:revision>
  <dcterms:created xsi:type="dcterms:W3CDTF">2026-05-12T05:24:00Z</dcterms:created>
  <dcterms:modified xsi:type="dcterms:W3CDTF">2026-06-08T12:42:00Z</dcterms:modified>
</cp:coreProperties>
</file>